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ED" w:rsidRDefault="008D5702" w:rsidP="008D5702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bookmarkEnd w:id="0"/>
      <w:r>
        <w:rPr>
          <w:rFonts w:ascii="Californian FB" w:hAnsi="Californian FB"/>
          <w:sz w:val="40"/>
          <w:szCs w:val="40"/>
        </w:rPr>
        <w:t>Oak Hills</w:t>
      </w:r>
    </w:p>
    <w:p w:rsidR="008D5702" w:rsidRDefault="008D5702" w:rsidP="008D5702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2016 4</w:t>
      </w:r>
      <w:r w:rsidRPr="008D5702">
        <w:rPr>
          <w:rFonts w:ascii="Californian FB" w:hAnsi="Californian FB"/>
          <w:sz w:val="40"/>
          <w:szCs w:val="40"/>
          <w:vertAlign w:val="superscript"/>
        </w:rPr>
        <w:t>th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8D5702" w:rsidRPr="008D5702" w:rsidRDefault="008D5702" w:rsidP="008D5702">
      <w:pPr>
        <w:jc w:val="center"/>
        <w:rPr>
          <w:rFonts w:ascii="Californian FB" w:hAnsi="Californian FB"/>
          <w:sz w:val="40"/>
          <w:szCs w:val="40"/>
        </w:rPr>
      </w:pPr>
      <w:r>
        <w:rPr>
          <w:noProof/>
        </w:rPr>
        <w:drawing>
          <wp:inline distT="0" distB="0" distL="0" distR="0" wp14:anchorId="38335DE2" wp14:editId="58CAFE22">
            <wp:extent cx="9153525" cy="59626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8D5702" w:rsidRPr="008D5702" w:rsidSect="008D57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02"/>
    <w:rsid w:val="006D50ED"/>
    <w:rsid w:val="008D5702"/>
    <w:rsid w:val="00D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73E15-D203-4622-A189-4E187A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37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3">
                  <c:v>1</c:v>
                </c:pt>
                <c:pt idx="5">
                  <c:v>6</c:v>
                </c:pt>
                <c:pt idx="6">
                  <c:v>4</c:v>
                </c:pt>
                <c:pt idx="7">
                  <c:v>1</c:v>
                </c:pt>
                <c:pt idx="8">
                  <c:v>6</c:v>
                </c:pt>
                <c:pt idx="9">
                  <c:v>4</c:v>
                </c:pt>
                <c:pt idx="10">
                  <c:v>9</c:v>
                </c:pt>
                <c:pt idx="11">
                  <c:v>4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8371480"/>
        <c:axId val="398372264"/>
        <c:axId val="0"/>
      </c:bar3DChart>
      <c:catAx>
        <c:axId val="398371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8372264"/>
        <c:crosses val="autoZero"/>
        <c:auto val="1"/>
        <c:lblAlgn val="ctr"/>
        <c:lblOffset val="100"/>
        <c:noMultiLvlLbl val="0"/>
      </c:catAx>
      <c:valAx>
        <c:axId val="3983722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8371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0.16025</cdr:x>
      <cdr:y>0.19649</cdr:y>
    </cdr:from>
    <cdr:to>
      <cdr:x>0.49948</cdr:x>
      <cdr:y>0.23802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1171575"/>
          <a:ext cx="3105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3,402</a:t>
          </a:r>
          <a:r>
            <a:rPr lang="en-US" sz="1000" i="1" baseline="0"/>
            <a:t> 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0.16025</cdr:x>
      <cdr:y>0.25719</cdr:y>
    </cdr:from>
    <cdr:to>
      <cdr:x>0.48907</cdr:x>
      <cdr:y>0.29872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1533525"/>
          <a:ext cx="3009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3,479 </a:t>
          </a:r>
          <a:r>
            <a:rPr lang="en-US" sz="1000" i="1" baseline="0"/>
            <a:t>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0.16129</cdr:x>
      <cdr:y>0.32268</cdr:y>
    </cdr:from>
    <cdr:to>
      <cdr:x>0.26119</cdr:x>
      <cdr:y>0.47604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9240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0.16129</cdr:x>
      <cdr:y>0.31949</cdr:y>
    </cdr:from>
    <cdr:to>
      <cdr:x>0.4974</cdr:x>
      <cdr:y>0.35942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1905000"/>
          <a:ext cx="3076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2,704</a:t>
          </a:r>
          <a:r>
            <a:rPr lang="en-US" sz="1000" i="1"/>
            <a:t> - Average Year Built </a:t>
          </a:r>
          <a:r>
            <a:rPr lang="en-US" sz="1000" b="1" i="1"/>
            <a:t>1997</a:t>
          </a:r>
        </a:p>
      </cdr:txBody>
    </cdr:sp>
  </cdr:relSizeAnchor>
  <cdr:relSizeAnchor xmlns:cdr="http://schemas.openxmlformats.org/drawingml/2006/chartDrawing">
    <cdr:from>
      <cdr:x>0.16129</cdr:x>
      <cdr:y>0.38019</cdr:y>
    </cdr:from>
    <cdr:to>
      <cdr:x>0.47659</cdr:x>
      <cdr:y>0.42173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66950"/>
          <a:ext cx="28860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2,426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1994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0.16129</cdr:x>
      <cdr:y>0.44409</cdr:y>
    </cdr:from>
    <cdr:to>
      <cdr:x>0.51821</cdr:x>
      <cdr:y>0.48403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2647950"/>
          <a:ext cx="3267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2,732 </a:t>
          </a:r>
          <a:r>
            <a:rPr lang="en-US" sz="1000" i="1"/>
            <a:t>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0.16233</cdr:x>
      <cdr:y>0.50479</cdr:y>
    </cdr:from>
    <cdr:to>
      <cdr:x>0.52133</cdr:x>
      <cdr:y>0.54473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009900"/>
          <a:ext cx="3286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2,950 </a:t>
          </a:r>
          <a:r>
            <a:rPr lang="en-US" sz="1000" i="1"/>
            <a:t>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0.16233</cdr:x>
      <cdr:y>0.5655</cdr:y>
    </cdr:from>
    <cdr:to>
      <cdr:x>0.49844</cdr:x>
      <cdr:y>0.60703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371850"/>
          <a:ext cx="3076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1,995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0.16233</cdr:x>
      <cdr:y>0.63099</cdr:y>
    </cdr:from>
    <cdr:to>
      <cdr:x>0.5026</cdr:x>
      <cdr:y>0.6853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3762375"/>
          <a:ext cx="3114675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1,936</a:t>
          </a:r>
          <a:r>
            <a:rPr lang="en-US" sz="1000" i="1" baseline="0"/>
            <a:t> -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0.16129</cdr:x>
      <cdr:y>0.75399</cdr:y>
    </cdr:from>
    <cdr:to>
      <cdr:x>0.52133</cdr:x>
      <cdr:y>0.79712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495800"/>
          <a:ext cx="32956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1,728 </a:t>
          </a:r>
          <a:r>
            <a:rPr lang="en-US" sz="1000" i="1"/>
            <a:t>- Average Year Built </a:t>
          </a:r>
          <a:r>
            <a:rPr lang="en-US" sz="1000" b="1" i="1"/>
            <a:t>1989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2017-01-24T18:35:00Z</dcterms:created>
  <dcterms:modified xsi:type="dcterms:W3CDTF">2017-01-24T18:50:00Z</dcterms:modified>
</cp:coreProperties>
</file>